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CD" w:rsidRPr="009C0C43" w:rsidRDefault="00702075" w:rsidP="00FB4B7F">
      <w:pPr>
        <w:autoSpaceDE w:val="0"/>
        <w:autoSpaceDN w:val="0"/>
        <w:adjustRightInd w:val="0"/>
        <w:spacing w:after="120" w:line="240" w:lineRule="auto"/>
        <w:jc w:val="center"/>
        <w:rPr>
          <w:rFonts w:ascii="Arial" w:eastAsiaTheme="minorHAnsi" w:hAnsi="Arial" w:cs="Arial"/>
          <w:b/>
          <w:bCs/>
          <w:i/>
          <w:color w:val="272727"/>
          <w:sz w:val="28"/>
          <w:szCs w:val="28"/>
        </w:rPr>
      </w:pPr>
      <w:r w:rsidRPr="009C0C43">
        <w:rPr>
          <w:rFonts w:ascii="Arial" w:eastAsiaTheme="minorHAnsi" w:hAnsi="Arial" w:cs="Arial"/>
          <w:b/>
          <w:bCs/>
          <w:i/>
          <w:color w:val="272727"/>
          <w:sz w:val="28"/>
          <w:szCs w:val="28"/>
        </w:rPr>
        <w:t>Professional Services</w:t>
      </w:r>
      <w:r w:rsidR="00E36821" w:rsidRPr="009C0C43">
        <w:rPr>
          <w:rFonts w:ascii="Arial" w:eastAsiaTheme="minorHAnsi" w:hAnsi="Arial" w:cs="Arial"/>
          <w:b/>
          <w:bCs/>
          <w:i/>
          <w:color w:val="272727"/>
          <w:sz w:val="28"/>
          <w:szCs w:val="28"/>
        </w:rPr>
        <w:t xml:space="preserve"> </w:t>
      </w:r>
      <w:r w:rsidR="008F6DCD" w:rsidRPr="009C0C43">
        <w:rPr>
          <w:rFonts w:ascii="Arial" w:eastAsiaTheme="minorHAnsi" w:hAnsi="Arial" w:cs="Arial"/>
          <w:b/>
          <w:bCs/>
          <w:i/>
          <w:color w:val="272727"/>
          <w:sz w:val="28"/>
          <w:szCs w:val="28"/>
        </w:rPr>
        <w:t>Conflict of Interest</w:t>
      </w:r>
      <w:r w:rsidRPr="009C0C43">
        <w:rPr>
          <w:rFonts w:ascii="Arial" w:eastAsiaTheme="minorHAnsi" w:hAnsi="Arial" w:cs="Arial"/>
          <w:b/>
          <w:bCs/>
          <w:i/>
          <w:color w:val="272727"/>
          <w:sz w:val="28"/>
          <w:szCs w:val="28"/>
        </w:rPr>
        <w:t xml:space="preserve"> (COI)</w:t>
      </w:r>
      <w:r w:rsidR="00E36821" w:rsidRPr="009C0C43">
        <w:rPr>
          <w:rFonts w:ascii="Arial" w:eastAsiaTheme="minorHAnsi" w:hAnsi="Arial" w:cs="Arial"/>
          <w:b/>
          <w:bCs/>
          <w:i/>
          <w:color w:val="272727"/>
          <w:sz w:val="28"/>
          <w:szCs w:val="28"/>
        </w:rPr>
        <w:t xml:space="preserve"> Guidelines</w:t>
      </w:r>
    </w:p>
    <w:p w:rsidR="008F6DCD" w:rsidRPr="00FB4B7F" w:rsidRDefault="008F6DCD" w:rsidP="00FB4B7F">
      <w:pPr>
        <w:autoSpaceDE w:val="0"/>
        <w:autoSpaceDN w:val="0"/>
        <w:adjustRightInd w:val="0"/>
        <w:spacing w:after="120" w:line="240" w:lineRule="auto"/>
        <w:jc w:val="both"/>
        <w:rPr>
          <w:rFonts w:ascii="Arial" w:eastAsiaTheme="minorHAnsi" w:hAnsi="Arial" w:cs="Arial"/>
          <w:bCs/>
          <w:color w:val="272727"/>
        </w:rPr>
      </w:pPr>
    </w:p>
    <w:p w:rsidR="008F6DCD" w:rsidRPr="00FB4B7F" w:rsidRDefault="008F6DCD" w:rsidP="00FB4B7F">
      <w:pPr>
        <w:pStyle w:val="Default"/>
        <w:spacing w:after="120"/>
        <w:jc w:val="both"/>
        <w:rPr>
          <w:rFonts w:eastAsiaTheme="minorHAnsi"/>
          <w:sz w:val="22"/>
          <w:szCs w:val="22"/>
        </w:rPr>
      </w:pPr>
      <w:r w:rsidRPr="00191D5D">
        <w:rPr>
          <w:sz w:val="22"/>
          <w:szCs w:val="22"/>
        </w:rPr>
        <w:t xml:space="preserve">The nature of </w:t>
      </w:r>
      <w:r w:rsidR="00191D5D" w:rsidRPr="00191D5D">
        <w:rPr>
          <w:sz w:val="22"/>
          <w:szCs w:val="22"/>
        </w:rPr>
        <w:t>professional services agreements</w:t>
      </w:r>
      <w:r w:rsidRPr="00191D5D">
        <w:rPr>
          <w:sz w:val="22"/>
          <w:szCs w:val="22"/>
        </w:rPr>
        <w:t xml:space="preserve"> creates the potential for </w:t>
      </w:r>
      <w:r w:rsidR="00E36821" w:rsidRPr="00191D5D">
        <w:rPr>
          <w:sz w:val="22"/>
          <w:szCs w:val="22"/>
        </w:rPr>
        <w:t>c</w:t>
      </w:r>
      <w:r w:rsidRPr="00191D5D">
        <w:rPr>
          <w:sz w:val="22"/>
          <w:szCs w:val="22"/>
        </w:rPr>
        <w:t xml:space="preserve">onflicts of </w:t>
      </w:r>
      <w:r w:rsidR="00E36821" w:rsidRPr="00191D5D">
        <w:rPr>
          <w:sz w:val="22"/>
          <w:szCs w:val="22"/>
        </w:rPr>
        <w:t>i</w:t>
      </w:r>
      <w:r w:rsidRPr="00191D5D">
        <w:rPr>
          <w:sz w:val="22"/>
          <w:szCs w:val="22"/>
        </w:rPr>
        <w:t>nterest (COI). The Idaho Transportation Department (</w:t>
      </w:r>
      <w:r w:rsidR="00CC3476" w:rsidRPr="00191D5D">
        <w:rPr>
          <w:sz w:val="22"/>
          <w:szCs w:val="22"/>
        </w:rPr>
        <w:t>Department</w:t>
      </w:r>
      <w:r w:rsidRPr="00191D5D">
        <w:rPr>
          <w:sz w:val="22"/>
          <w:szCs w:val="22"/>
        </w:rPr>
        <w:t xml:space="preserve">) has </w:t>
      </w:r>
      <w:r w:rsidR="00E36821" w:rsidRPr="00191D5D">
        <w:rPr>
          <w:sz w:val="22"/>
          <w:szCs w:val="22"/>
        </w:rPr>
        <w:t xml:space="preserve">developed </w:t>
      </w:r>
      <w:r w:rsidR="00191D5D">
        <w:rPr>
          <w:sz w:val="22"/>
          <w:szCs w:val="22"/>
        </w:rPr>
        <w:t xml:space="preserve">these </w:t>
      </w:r>
      <w:r w:rsidR="00191D5D" w:rsidRPr="00191D5D">
        <w:rPr>
          <w:i/>
          <w:sz w:val="22"/>
          <w:szCs w:val="22"/>
        </w:rPr>
        <w:t>Professional Services</w:t>
      </w:r>
      <w:r w:rsidR="00191D5D">
        <w:rPr>
          <w:sz w:val="22"/>
          <w:szCs w:val="22"/>
        </w:rPr>
        <w:t xml:space="preserve"> </w:t>
      </w:r>
      <w:r w:rsidRPr="00191D5D">
        <w:rPr>
          <w:i/>
          <w:iCs/>
          <w:sz w:val="22"/>
          <w:szCs w:val="22"/>
        </w:rPr>
        <w:t xml:space="preserve">Conflict of Interest Guidelines </w:t>
      </w:r>
      <w:r w:rsidRPr="00191D5D">
        <w:rPr>
          <w:sz w:val="22"/>
          <w:szCs w:val="22"/>
        </w:rPr>
        <w:t xml:space="preserve">(COI Guidelines) and a </w:t>
      </w:r>
      <w:r w:rsidR="00A10B58" w:rsidRPr="00191D5D">
        <w:rPr>
          <w:sz w:val="22"/>
          <w:szCs w:val="22"/>
        </w:rPr>
        <w:t>d</w:t>
      </w:r>
      <w:r w:rsidRPr="00191D5D">
        <w:rPr>
          <w:sz w:val="22"/>
          <w:szCs w:val="22"/>
        </w:rPr>
        <w:t xml:space="preserve">isclosure </w:t>
      </w:r>
      <w:r w:rsidR="00A10B58" w:rsidRPr="00191D5D">
        <w:rPr>
          <w:sz w:val="22"/>
          <w:szCs w:val="22"/>
        </w:rPr>
        <w:t>p</w:t>
      </w:r>
      <w:r w:rsidRPr="00191D5D">
        <w:rPr>
          <w:sz w:val="22"/>
          <w:szCs w:val="22"/>
        </w:rPr>
        <w:t>rocess</w:t>
      </w:r>
      <w:r w:rsidR="00E36821" w:rsidRPr="00191D5D">
        <w:rPr>
          <w:sz w:val="22"/>
          <w:szCs w:val="22"/>
        </w:rPr>
        <w:t xml:space="preserve"> for management and evaluation of these conflicts and the appearance of conflicts</w:t>
      </w:r>
      <w:r w:rsidRPr="00191D5D">
        <w:rPr>
          <w:sz w:val="22"/>
          <w:szCs w:val="22"/>
        </w:rPr>
        <w:t xml:space="preserve">. The COI Guidelines are intended to </w:t>
      </w:r>
      <w:r w:rsidR="000B70B9">
        <w:rPr>
          <w:sz w:val="22"/>
          <w:szCs w:val="22"/>
        </w:rPr>
        <w:t>outline applicable regulations and consideration</w:t>
      </w:r>
      <w:r w:rsidR="00E36821" w:rsidRPr="00191D5D">
        <w:rPr>
          <w:sz w:val="22"/>
          <w:szCs w:val="22"/>
        </w:rPr>
        <w:t xml:space="preserve"> </w:t>
      </w:r>
      <w:r w:rsidRPr="00191D5D">
        <w:rPr>
          <w:sz w:val="22"/>
          <w:szCs w:val="22"/>
        </w:rPr>
        <w:t xml:space="preserve">and describe the COI </w:t>
      </w:r>
      <w:r w:rsidR="00A10B58" w:rsidRPr="00191D5D">
        <w:rPr>
          <w:sz w:val="22"/>
          <w:szCs w:val="22"/>
        </w:rPr>
        <w:t>d</w:t>
      </w:r>
      <w:r w:rsidRPr="00191D5D">
        <w:rPr>
          <w:sz w:val="22"/>
          <w:szCs w:val="22"/>
        </w:rPr>
        <w:t xml:space="preserve">isclosure </w:t>
      </w:r>
      <w:r w:rsidR="00A10B58" w:rsidRPr="00191D5D">
        <w:rPr>
          <w:sz w:val="22"/>
          <w:szCs w:val="22"/>
        </w:rPr>
        <w:t>p</w:t>
      </w:r>
      <w:r w:rsidRPr="00191D5D">
        <w:rPr>
          <w:sz w:val="22"/>
          <w:szCs w:val="22"/>
        </w:rPr>
        <w:t xml:space="preserve">rocess. </w:t>
      </w:r>
      <w:r w:rsidRPr="00191D5D">
        <w:rPr>
          <w:rFonts w:eastAsiaTheme="minorHAnsi"/>
          <w:sz w:val="22"/>
          <w:szCs w:val="22"/>
        </w:rPr>
        <w:t xml:space="preserve">The purpose of </w:t>
      </w:r>
      <w:r w:rsidR="00E36821" w:rsidRPr="00191D5D">
        <w:rPr>
          <w:rFonts w:eastAsiaTheme="minorHAnsi"/>
          <w:sz w:val="22"/>
          <w:szCs w:val="22"/>
        </w:rPr>
        <w:t xml:space="preserve">the </w:t>
      </w:r>
      <w:r w:rsidR="000527F8" w:rsidRPr="00191D5D">
        <w:rPr>
          <w:rFonts w:eastAsiaTheme="minorHAnsi"/>
          <w:sz w:val="22"/>
          <w:szCs w:val="22"/>
        </w:rPr>
        <w:t>COI</w:t>
      </w:r>
      <w:r w:rsidRPr="00191D5D">
        <w:rPr>
          <w:rFonts w:eastAsiaTheme="minorHAnsi"/>
          <w:sz w:val="22"/>
          <w:szCs w:val="22"/>
        </w:rPr>
        <w:t xml:space="preserve"> Guidelines is to </w:t>
      </w:r>
      <w:r w:rsidR="00CC3476" w:rsidRPr="00191D5D">
        <w:rPr>
          <w:rFonts w:eastAsiaTheme="minorHAnsi"/>
          <w:sz w:val="22"/>
          <w:szCs w:val="22"/>
        </w:rPr>
        <w:t xml:space="preserve">clarify the Department’s </w:t>
      </w:r>
      <w:r w:rsidRPr="00191D5D">
        <w:rPr>
          <w:rFonts w:eastAsiaTheme="minorHAnsi"/>
          <w:sz w:val="22"/>
          <w:szCs w:val="22"/>
        </w:rPr>
        <w:t xml:space="preserve">policy on potential conflicts of interest that may arise when consultants, </w:t>
      </w:r>
      <w:r w:rsidR="00FB6BE5" w:rsidRPr="00191D5D">
        <w:rPr>
          <w:rFonts w:eastAsiaTheme="minorHAnsi"/>
          <w:sz w:val="22"/>
          <w:szCs w:val="22"/>
        </w:rPr>
        <w:t>sub</w:t>
      </w:r>
      <w:r w:rsidR="00FB6BE5">
        <w:rPr>
          <w:rFonts w:eastAsiaTheme="minorHAnsi"/>
          <w:sz w:val="22"/>
          <w:szCs w:val="22"/>
        </w:rPr>
        <w:t>-</w:t>
      </w:r>
      <w:r w:rsidR="00FB6BE5" w:rsidRPr="00191D5D">
        <w:rPr>
          <w:rFonts w:eastAsiaTheme="minorHAnsi"/>
          <w:sz w:val="22"/>
          <w:szCs w:val="22"/>
        </w:rPr>
        <w:t>consultants</w:t>
      </w:r>
      <w:r w:rsidRPr="00191D5D">
        <w:rPr>
          <w:rFonts w:eastAsiaTheme="minorHAnsi"/>
          <w:sz w:val="22"/>
          <w:szCs w:val="22"/>
        </w:rPr>
        <w:t xml:space="preserve">, contractors and subcontractors perform work for </w:t>
      </w:r>
      <w:r w:rsidR="00CC3476" w:rsidRPr="00191D5D">
        <w:rPr>
          <w:rFonts w:eastAsiaTheme="minorHAnsi"/>
          <w:sz w:val="22"/>
          <w:szCs w:val="22"/>
        </w:rPr>
        <w:t xml:space="preserve">the Department </w:t>
      </w:r>
      <w:r w:rsidRPr="00191D5D">
        <w:rPr>
          <w:rFonts w:eastAsiaTheme="minorHAnsi"/>
          <w:sz w:val="22"/>
          <w:szCs w:val="22"/>
        </w:rPr>
        <w:t>relating to a potential project.</w:t>
      </w:r>
    </w:p>
    <w:p w:rsidR="008F6DCD" w:rsidRPr="00FB4B7F" w:rsidRDefault="008F6DCD" w:rsidP="00FB4B7F">
      <w:pPr>
        <w:autoSpaceDE w:val="0"/>
        <w:autoSpaceDN w:val="0"/>
        <w:adjustRightInd w:val="0"/>
        <w:spacing w:after="120" w:line="240" w:lineRule="auto"/>
        <w:jc w:val="both"/>
        <w:rPr>
          <w:rFonts w:ascii="Arial" w:eastAsiaTheme="minorHAnsi" w:hAnsi="Arial" w:cs="Arial"/>
          <w:u w:val="single"/>
        </w:rPr>
      </w:pPr>
      <w:r w:rsidRPr="00FB4B7F">
        <w:rPr>
          <w:rFonts w:ascii="Arial" w:eastAsiaTheme="minorHAnsi" w:hAnsi="Arial" w:cs="Arial"/>
          <w:u w:val="single"/>
        </w:rPr>
        <w:t>Discussion</w:t>
      </w:r>
    </w:p>
    <w:p w:rsidR="00905C83" w:rsidRPr="00FB4B7F" w:rsidRDefault="008F6DCD" w:rsidP="00FB4B7F">
      <w:pPr>
        <w:pStyle w:val="Default"/>
        <w:spacing w:after="120"/>
        <w:jc w:val="both"/>
        <w:rPr>
          <w:color w:val="auto"/>
          <w:sz w:val="22"/>
          <w:szCs w:val="22"/>
        </w:rPr>
      </w:pPr>
      <w:r w:rsidRPr="00FB4B7F">
        <w:rPr>
          <w:color w:val="auto"/>
          <w:sz w:val="22"/>
          <w:szCs w:val="22"/>
        </w:rPr>
        <w:t xml:space="preserve">Both state and federal </w:t>
      </w:r>
      <w:r w:rsidR="00E36821" w:rsidRPr="00FB4B7F">
        <w:rPr>
          <w:color w:val="auto"/>
          <w:sz w:val="22"/>
          <w:szCs w:val="22"/>
        </w:rPr>
        <w:t>regulations</w:t>
      </w:r>
      <w:r w:rsidRPr="00FB4B7F">
        <w:rPr>
          <w:color w:val="auto"/>
          <w:sz w:val="22"/>
          <w:szCs w:val="22"/>
        </w:rPr>
        <w:t xml:space="preserve"> govern disclosure and management of </w:t>
      </w:r>
      <w:r w:rsidR="00E36821" w:rsidRPr="00FB4B7F">
        <w:rPr>
          <w:color w:val="auto"/>
          <w:sz w:val="22"/>
          <w:szCs w:val="22"/>
        </w:rPr>
        <w:t>c</w:t>
      </w:r>
      <w:r w:rsidRPr="00FB4B7F">
        <w:rPr>
          <w:color w:val="auto"/>
          <w:sz w:val="22"/>
          <w:szCs w:val="22"/>
        </w:rPr>
        <w:t xml:space="preserve">onflicts of </w:t>
      </w:r>
      <w:r w:rsidR="00E36821" w:rsidRPr="00FB4B7F">
        <w:rPr>
          <w:color w:val="auto"/>
          <w:sz w:val="22"/>
          <w:szCs w:val="22"/>
        </w:rPr>
        <w:t>i</w:t>
      </w:r>
      <w:r w:rsidRPr="00FB4B7F">
        <w:rPr>
          <w:color w:val="auto"/>
          <w:sz w:val="22"/>
          <w:szCs w:val="22"/>
        </w:rPr>
        <w:t xml:space="preserve">nterest in </w:t>
      </w:r>
      <w:r w:rsidR="00E36821" w:rsidRPr="00FB4B7F">
        <w:rPr>
          <w:color w:val="auto"/>
          <w:sz w:val="22"/>
          <w:szCs w:val="22"/>
        </w:rPr>
        <w:t>h</w:t>
      </w:r>
      <w:r w:rsidRPr="00FB4B7F">
        <w:rPr>
          <w:color w:val="auto"/>
          <w:sz w:val="22"/>
          <w:szCs w:val="22"/>
        </w:rPr>
        <w:t>ighway contracting processes.</w:t>
      </w:r>
      <w:r w:rsidR="00610B69">
        <w:rPr>
          <w:color w:val="auto"/>
          <w:sz w:val="22"/>
          <w:szCs w:val="22"/>
        </w:rPr>
        <w:t xml:space="preserve"> (2 CFR 200.112 and 23 CFR 1.33)</w:t>
      </w:r>
    </w:p>
    <w:p w:rsidR="00B84076" w:rsidRPr="00FB4B7F" w:rsidRDefault="00E36821" w:rsidP="00FB4B7F">
      <w:pPr>
        <w:pStyle w:val="Default"/>
        <w:spacing w:after="120"/>
        <w:jc w:val="both"/>
        <w:rPr>
          <w:color w:val="auto"/>
          <w:sz w:val="22"/>
          <w:szCs w:val="22"/>
        </w:rPr>
      </w:pPr>
      <w:r w:rsidRPr="00FB4B7F">
        <w:rPr>
          <w:color w:val="auto"/>
          <w:sz w:val="22"/>
          <w:szCs w:val="22"/>
        </w:rPr>
        <w:t xml:space="preserve">The Department </w:t>
      </w:r>
      <w:r w:rsidR="008F6DCD" w:rsidRPr="00FB4B7F">
        <w:rPr>
          <w:color w:val="auto"/>
          <w:sz w:val="22"/>
          <w:szCs w:val="22"/>
        </w:rPr>
        <w:t xml:space="preserve">also has </w:t>
      </w:r>
      <w:proofErr w:type="spellStart"/>
      <w:proofErr w:type="gramStart"/>
      <w:r w:rsidR="008F6DCD" w:rsidRPr="00FB4B7F">
        <w:rPr>
          <w:color w:val="auto"/>
          <w:sz w:val="22"/>
          <w:szCs w:val="22"/>
        </w:rPr>
        <w:t>a</w:t>
      </w:r>
      <w:proofErr w:type="spellEnd"/>
      <w:proofErr w:type="gramEnd"/>
      <w:r w:rsidR="008F6DCD" w:rsidRPr="00FB4B7F">
        <w:rPr>
          <w:color w:val="auto"/>
          <w:sz w:val="22"/>
          <w:szCs w:val="22"/>
        </w:rPr>
        <w:t xml:space="preserve"> </w:t>
      </w:r>
      <w:r w:rsidR="00EF4F93">
        <w:rPr>
          <w:color w:val="auto"/>
          <w:sz w:val="22"/>
          <w:szCs w:val="22"/>
        </w:rPr>
        <w:t>Ethics, Conflict of Interest, and Personal Conduct</w:t>
      </w:r>
      <w:r w:rsidR="008F6DCD" w:rsidRPr="00FB4B7F">
        <w:rPr>
          <w:color w:val="auto"/>
          <w:sz w:val="22"/>
          <w:szCs w:val="22"/>
        </w:rPr>
        <w:t xml:space="preserve"> </w:t>
      </w:r>
      <w:r w:rsidRPr="00FB4B7F">
        <w:rPr>
          <w:color w:val="auto"/>
          <w:sz w:val="22"/>
          <w:szCs w:val="22"/>
        </w:rPr>
        <w:t xml:space="preserve">policy </w:t>
      </w:r>
      <w:r w:rsidR="008F6DCD" w:rsidRPr="00FB4B7F">
        <w:rPr>
          <w:color w:val="auto"/>
          <w:sz w:val="22"/>
          <w:szCs w:val="22"/>
        </w:rPr>
        <w:t xml:space="preserve">regarding the actions of </w:t>
      </w:r>
      <w:r w:rsidRPr="00FB4B7F">
        <w:rPr>
          <w:color w:val="auto"/>
          <w:sz w:val="22"/>
          <w:szCs w:val="22"/>
        </w:rPr>
        <w:t xml:space="preserve">Department </w:t>
      </w:r>
      <w:r w:rsidR="008F6DCD" w:rsidRPr="00FB4B7F">
        <w:rPr>
          <w:color w:val="auto"/>
          <w:sz w:val="22"/>
          <w:szCs w:val="22"/>
        </w:rPr>
        <w:t xml:space="preserve">employees, which is explained in </w:t>
      </w:r>
      <w:r w:rsidR="00CC3476" w:rsidRPr="00FB4B7F">
        <w:rPr>
          <w:color w:val="auto"/>
          <w:sz w:val="22"/>
          <w:szCs w:val="22"/>
        </w:rPr>
        <w:t xml:space="preserve">the </w:t>
      </w:r>
      <w:r w:rsidR="00905C83" w:rsidRPr="00FB4B7F">
        <w:rPr>
          <w:color w:val="auto"/>
          <w:sz w:val="22"/>
          <w:szCs w:val="22"/>
          <w:u w:val="single"/>
        </w:rPr>
        <w:t xml:space="preserve">Idaho Transportation </w:t>
      </w:r>
      <w:r w:rsidR="00F31704" w:rsidRPr="00FB4B7F">
        <w:rPr>
          <w:color w:val="auto"/>
          <w:sz w:val="22"/>
          <w:szCs w:val="22"/>
          <w:u w:val="single"/>
        </w:rPr>
        <w:t>Department</w:t>
      </w:r>
      <w:r w:rsidR="00CC3476" w:rsidRPr="00FB4B7F">
        <w:rPr>
          <w:color w:val="auto"/>
          <w:sz w:val="22"/>
          <w:szCs w:val="22"/>
          <w:u w:val="single"/>
        </w:rPr>
        <w:t xml:space="preserve"> Administrative </w:t>
      </w:r>
      <w:r w:rsidR="008F6DCD" w:rsidRPr="00FB4B7F">
        <w:rPr>
          <w:color w:val="auto"/>
          <w:sz w:val="22"/>
          <w:szCs w:val="22"/>
          <w:u w:val="single"/>
        </w:rPr>
        <w:t xml:space="preserve">Policy </w:t>
      </w:r>
      <w:r w:rsidR="00610B69">
        <w:rPr>
          <w:color w:val="auto"/>
          <w:sz w:val="22"/>
          <w:szCs w:val="22"/>
          <w:u w:val="single"/>
        </w:rPr>
        <w:t>5021</w:t>
      </w:r>
      <w:r w:rsidR="00F31704" w:rsidRPr="00FB4B7F">
        <w:rPr>
          <w:color w:val="auto"/>
          <w:sz w:val="22"/>
          <w:szCs w:val="22"/>
        </w:rPr>
        <w:t>.</w:t>
      </w:r>
    </w:p>
    <w:p w:rsidR="008F6DCD" w:rsidRPr="00EF4F93" w:rsidRDefault="00E36821" w:rsidP="00FB4B7F">
      <w:pPr>
        <w:pStyle w:val="Default"/>
        <w:spacing w:after="120"/>
        <w:jc w:val="both"/>
        <w:rPr>
          <w:rFonts w:eastAsiaTheme="minorHAnsi"/>
          <w:sz w:val="22"/>
          <w:szCs w:val="22"/>
        </w:rPr>
      </w:pPr>
      <w:r w:rsidRPr="00EF4F93">
        <w:rPr>
          <w:rFonts w:eastAsiaTheme="minorHAnsi"/>
          <w:sz w:val="22"/>
          <w:szCs w:val="22"/>
          <w:u w:val="single"/>
        </w:rPr>
        <w:t xml:space="preserve">Sections 40-116 </w:t>
      </w:r>
      <w:r w:rsidR="00EF4F93">
        <w:rPr>
          <w:rFonts w:eastAsiaTheme="minorHAnsi"/>
          <w:sz w:val="22"/>
          <w:szCs w:val="22"/>
          <w:u w:val="single"/>
        </w:rPr>
        <w:t xml:space="preserve"> of Idaho Code also </w:t>
      </w:r>
      <w:r w:rsidRPr="00EF4F93">
        <w:rPr>
          <w:rFonts w:eastAsiaTheme="minorHAnsi"/>
          <w:sz w:val="22"/>
          <w:szCs w:val="22"/>
        </w:rPr>
        <w:t>appl</w:t>
      </w:r>
      <w:r w:rsidR="00EF4F93" w:rsidRPr="00EF4F93">
        <w:rPr>
          <w:rFonts w:eastAsiaTheme="minorHAnsi"/>
          <w:sz w:val="22"/>
          <w:szCs w:val="22"/>
        </w:rPr>
        <w:t>ies</w:t>
      </w:r>
      <w:r w:rsidRPr="00EF4F93">
        <w:rPr>
          <w:rFonts w:eastAsiaTheme="minorHAnsi"/>
          <w:sz w:val="22"/>
          <w:szCs w:val="22"/>
        </w:rPr>
        <w:t xml:space="preserve"> to potential Department procurements for </w:t>
      </w:r>
      <w:r w:rsidR="00EF4F93" w:rsidRPr="00EF4F93">
        <w:rPr>
          <w:rFonts w:eastAsiaTheme="minorHAnsi"/>
          <w:sz w:val="22"/>
          <w:szCs w:val="22"/>
        </w:rPr>
        <w:t>architectural or engineering professional services</w:t>
      </w:r>
      <w:r w:rsidRPr="00EF4F93">
        <w:rPr>
          <w:rFonts w:eastAsiaTheme="minorHAnsi"/>
          <w:sz w:val="22"/>
          <w:szCs w:val="22"/>
        </w:rPr>
        <w:t xml:space="preserve"> and require</w:t>
      </w:r>
      <w:r w:rsidR="00EF4F93" w:rsidRPr="00EF4F93">
        <w:rPr>
          <w:rFonts w:eastAsiaTheme="minorHAnsi"/>
          <w:sz w:val="22"/>
          <w:szCs w:val="22"/>
        </w:rPr>
        <w:t>s</w:t>
      </w:r>
      <w:r w:rsidR="008F6DCD" w:rsidRPr="00EF4F93">
        <w:rPr>
          <w:rFonts w:eastAsiaTheme="minorHAnsi"/>
          <w:sz w:val="22"/>
          <w:szCs w:val="22"/>
        </w:rPr>
        <w:t xml:space="preserve"> that reasonable efforts be made to avoid, mitigate, or neutralize organizational conflicts of interest.</w:t>
      </w:r>
    </w:p>
    <w:p w:rsidR="008F6DCD" w:rsidRPr="009E65C3" w:rsidRDefault="00124D98" w:rsidP="00FB4B7F">
      <w:pPr>
        <w:autoSpaceDE w:val="0"/>
        <w:autoSpaceDN w:val="0"/>
        <w:adjustRightInd w:val="0"/>
        <w:spacing w:after="120" w:line="240" w:lineRule="auto"/>
        <w:jc w:val="both"/>
        <w:rPr>
          <w:rFonts w:ascii="Arial" w:eastAsiaTheme="minorHAnsi" w:hAnsi="Arial" w:cs="Arial"/>
        </w:rPr>
      </w:pPr>
      <w:r w:rsidRPr="009E65C3">
        <w:rPr>
          <w:rFonts w:ascii="Arial" w:eastAsiaTheme="minorHAnsi" w:hAnsi="Arial" w:cs="Arial"/>
        </w:rPr>
        <w:t>T</w:t>
      </w:r>
      <w:r w:rsidR="008F6DCD" w:rsidRPr="009E65C3">
        <w:rPr>
          <w:rFonts w:ascii="Arial" w:eastAsiaTheme="minorHAnsi" w:hAnsi="Arial" w:cs="Arial"/>
        </w:rPr>
        <w:t xml:space="preserve">he Idaho Board of Licensure of Professional Engineers and Land Surveyors </w:t>
      </w:r>
      <w:proofErr w:type="gramStart"/>
      <w:r w:rsidR="00B84076" w:rsidRPr="009E65C3">
        <w:rPr>
          <w:rFonts w:ascii="Arial" w:eastAsiaTheme="minorHAnsi" w:hAnsi="Arial" w:cs="Arial"/>
        </w:rPr>
        <w:t>has</w:t>
      </w:r>
      <w:proofErr w:type="gramEnd"/>
      <w:r w:rsidR="00B84076" w:rsidRPr="009E65C3">
        <w:rPr>
          <w:rFonts w:ascii="Arial" w:eastAsiaTheme="minorHAnsi" w:hAnsi="Arial" w:cs="Arial"/>
        </w:rPr>
        <w:t xml:space="preserve"> </w:t>
      </w:r>
      <w:r w:rsidR="008F6DCD" w:rsidRPr="009E65C3">
        <w:rPr>
          <w:rFonts w:ascii="Arial" w:eastAsiaTheme="minorHAnsi" w:hAnsi="Arial" w:cs="Arial"/>
        </w:rPr>
        <w:t>a conflict of interest rule applicable to professionals licensed by the board</w:t>
      </w:r>
      <w:r w:rsidRPr="009E65C3">
        <w:rPr>
          <w:rFonts w:ascii="Arial" w:eastAsiaTheme="minorHAnsi" w:hAnsi="Arial" w:cs="Arial"/>
        </w:rPr>
        <w:t>, found in</w:t>
      </w:r>
      <w:r w:rsidR="009E65C3">
        <w:rPr>
          <w:rFonts w:ascii="Arial" w:eastAsiaTheme="minorHAnsi" w:hAnsi="Arial" w:cs="Arial"/>
        </w:rPr>
        <w:t xml:space="preserve"> Idaho Administrative Code (IDAPA)</w:t>
      </w:r>
      <w:r w:rsidRPr="009E65C3">
        <w:rPr>
          <w:rFonts w:ascii="Arial" w:eastAsiaTheme="minorHAnsi" w:hAnsi="Arial" w:cs="Arial"/>
        </w:rPr>
        <w:t xml:space="preserve"> </w:t>
      </w:r>
      <w:r w:rsidR="008F6DCD" w:rsidRPr="009E65C3">
        <w:rPr>
          <w:rFonts w:ascii="Arial" w:eastAsiaTheme="minorHAnsi" w:hAnsi="Arial" w:cs="Arial"/>
          <w:u w:val="single"/>
        </w:rPr>
        <w:t>10.01.02 Subpart 008 Conflict of Interest</w:t>
      </w:r>
      <w:r w:rsidR="008F6DCD" w:rsidRPr="009E65C3">
        <w:rPr>
          <w:rFonts w:ascii="Arial" w:eastAsiaTheme="minorHAnsi" w:hAnsi="Arial" w:cs="Arial"/>
        </w:rPr>
        <w:t>.</w:t>
      </w:r>
    </w:p>
    <w:p w:rsidR="00B403C5" w:rsidRPr="00B332DE" w:rsidRDefault="00B332DE" w:rsidP="00FB4B7F">
      <w:pPr>
        <w:pStyle w:val="Default"/>
        <w:spacing w:after="120"/>
        <w:jc w:val="both"/>
        <w:rPr>
          <w:i/>
          <w:color w:val="auto"/>
          <w:sz w:val="22"/>
          <w:szCs w:val="22"/>
          <w:u w:val="single"/>
        </w:rPr>
      </w:pPr>
      <w:r w:rsidRPr="00B332DE">
        <w:rPr>
          <w:i/>
          <w:color w:val="auto"/>
          <w:sz w:val="22"/>
          <w:szCs w:val="22"/>
          <w:u w:val="single"/>
        </w:rPr>
        <w:t>Conflict of Interest</w:t>
      </w:r>
      <w:r w:rsidR="00B403C5" w:rsidRPr="00B332DE">
        <w:rPr>
          <w:i/>
          <w:color w:val="auto"/>
          <w:sz w:val="22"/>
          <w:szCs w:val="22"/>
          <w:u w:val="single"/>
        </w:rPr>
        <w:t xml:space="preserve"> Disclosure Process</w:t>
      </w:r>
    </w:p>
    <w:p w:rsidR="00B332DE" w:rsidRPr="00B332DE" w:rsidRDefault="00B403C5" w:rsidP="00FB4B7F">
      <w:pPr>
        <w:pStyle w:val="Default"/>
        <w:spacing w:after="120"/>
        <w:jc w:val="both"/>
        <w:rPr>
          <w:color w:val="auto"/>
          <w:sz w:val="22"/>
          <w:szCs w:val="22"/>
        </w:rPr>
      </w:pPr>
      <w:r w:rsidRPr="00B332DE">
        <w:rPr>
          <w:color w:val="auto"/>
          <w:sz w:val="22"/>
          <w:szCs w:val="22"/>
        </w:rPr>
        <w:t>A</w:t>
      </w:r>
      <w:r w:rsidR="00905C83" w:rsidRPr="00B332DE">
        <w:rPr>
          <w:color w:val="auto"/>
          <w:sz w:val="22"/>
          <w:szCs w:val="22"/>
        </w:rPr>
        <w:t xml:space="preserve"> Proposer</w:t>
      </w:r>
      <w:r w:rsidRPr="00B332DE">
        <w:rPr>
          <w:color w:val="auto"/>
          <w:sz w:val="22"/>
          <w:szCs w:val="22"/>
        </w:rPr>
        <w:t xml:space="preserve"> shall </w:t>
      </w:r>
      <w:r w:rsidR="00124D98" w:rsidRPr="00B332DE">
        <w:rPr>
          <w:color w:val="auto"/>
          <w:sz w:val="22"/>
          <w:szCs w:val="22"/>
        </w:rPr>
        <w:t xml:space="preserve">review the codes listed above and </w:t>
      </w:r>
      <w:r w:rsidR="00B332DE" w:rsidRPr="00B332DE">
        <w:rPr>
          <w:color w:val="auto"/>
          <w:sz w:val="22"/>
          <w:szCs w:val="22"/>
        </w:rPr>
        <w:t xml:space="preserve">the Department’s Professional Services Agreement Procedures (PSAP) Manual, Section 120.1 </w:t>
      </w:r>
    </w:p>
    <w:p w:rsidR="00B403C5" w:rsidRDefault="00B403C5" w:rsidP="00FB4B7F">
      <w:pPr>
        <w:pStyle w:val="Default"/>
        <w:spacing w:after="120"/>
        <w:jc w:val="both"/>
        <w:rPr>
          <w:color w:val="auto"/>
          <w:sz w:val="22"/>
          <w:szCs w:val="22"/>
        </w:rPr>
      </w:pPr>
      <w:r w:rsidRPr="00B332DE">
        <w:rPr>
          <w:color w:val="auto"/>
          <w:sz w:val="22"/>
          <w:szCs w:val="22"/>
        </w:rPr>
        <w:t xml:space="preserve">The identification, assessment, and management of </w:t>
      </w:r>
      <w:r w:rsidR="00F0719A" w:rsidRPr="00B332DE">
        <w:rPr>
          <w:color w:val="auto"/>
          <w:sz w:val="22"/>
          <w:szCs w:val="22"/>
        </w:rPr>
        <w:t>a</w:t>
      </w:r>
      <w:r w:rsidRPr="00B332DE">
        <w:rPr>
          <w:color w:val="auto"/>
          <w:sz w:val="22"/>
          <w:szCs w:val="22"/>
        </w:rPr>
        <w:t xml:space="preserve">ctual or </w:t>
      </w:r>
      <w:r w:rsidR="00F0719A" w:rsidRPr="00B332DE">
        <w:rPr>
          <w:color w:val="auto"/>
          <w:sz w:val="22"/>
          <w:szCs w:val="22"/>
        </w:rPr>
        <w:t>p</w:t>
      </w:r>
      <w:r w:rsidRPr="00B332DE">
        <w:rPr>
          <w:color w:val="auto"/>
          <w:sz w:val="22"/>
          <w:szCs w:val="22"/>
        </w:rPr>
        <w:t xml:space="preserve">otential </w:t>
      </w:r>
      <w:r w:rsidR="00F0719A" w:rsidRPr="00B332DE">
        <w:rPr>
          <w:color w:val="auto"/>
          <w:sz w:val="22"/>
          <w:szCs w:val="22"/>
        </w:rPr>
        <w:t>c</w:t>
      </w:r>
      <w:r w:rsidRPr="00B332DE">
        <w:rPr>
          <w:color w:val="auto"/>
          <w:sz w:val="22"/>
          <w:szCs w:val="22"/>
        </w:rPr>
        <w:t xml:space="preserve">onflicts of </w:t>
      </w:r>
      <w:r w:rsidR="00F0719A" w:rsidRPr="00B332DE">
        <w:rPr>
          <w:color w:val="auto"/>
          <w:sz w:val="22"/>
          <w:szCs w:val="22"/>
        </w:rPr>
        <w:t>i</w:t>
      </w:r>
      <w:r w:rsidRPr="00B332DE">
        <w:rPr>
          <w:color w:val="auto"/>
          <w:sz w:val="22"/>
          <w:szCs w:val="22"/>
        </w:rPr>
        <w:t xml:space="preserve">nterest are a joint task between </w:t>
      </w:r>
      <w:r w:rsidR="00F0719A" w:rsidRPr="00B332DE">
        <w:rPr>
          <w:color w:val="auto"/>
          <w:sz w:val="22"/>
          <w:szCs w:val="22"/>
        </w:rPr>
        <w:t>the Department</w:t>
      </w:r>
      <w:r w:rsidRPr="00B332DE">
        <w:rPr>
          <w:color w:val="auto"/>
          <w:sz w:val="22"/>
          <w:szCs w:val="22"/>
        </w:rPr>
        <w:t xml:space="preserve"> and </w:t>
      </w:r>
      <w:r w:rsidR="000527F8" w:rsidRPr="00B332DE">
        <w:rPr>
          <w:color w:val="auto"/>
          <w:sz w:val="22"/>
          <w:szCs w:val="22"/>
        </w:rPr>
        <w:t>each Proposer</w:t>
      </w:r>
      <w:r w:rsidRPr="00B332DE">
        <w:rPr>
          <w:color w:val="auto"/>
          <w:sz w:val="22"/>
          <w:szCs w:val="22"/>
        </w:rPr>
        <w:t xml:space="preserve">. It requires both parties to work together in an atmosphere of candor and accountability. As the owner, </w:t>
      </w:r>
      <w:r w:rsidR="00F0719A" w:rsidRPr="00B332DE">
        <w:rPr>
          <w:color w:val="auto"/>
          <w:sz w:val="22"/>
          <w:szCs w:val="22"/>
        </w:rPr>
        <w:t xml:space="preserve">the Department </w:t>
      </w:r>
      <w:r w:rsidRPr="00B332DE">
        <w:rPr>
          <w:color w:val="auto"/>
          <w:sz w:val="22"/>
          <w:szCs w:val="22"/>
        </w:rPr>
        <w:t xml:space="preserve">makes the final determination as </w:t>
      </w:r>
      <w:r w:rsidR="00B332DE" w:rsidRPr="00B332DE">
        <w:rPr>
          <w:color w:val="auto"/>
          <w:sz w:val="22"/>
          <w:szCs w:val="22"/>
        </w:rPr>
        <w:t xml:space="preserve">to whether a conflict of interest exists and the </w:t>
      </w:r>
      <w:r w:rsidRPr="00B332DE">
        <w:rPr>
          <w:color w:val="auto"/>
          <w:sz w:val="22"/>
          <w:szCs w:val="22"/>
        </w:rPr>
        <w:t xml:space="preserve">adequacy of any COI management plan offered by </w:t>
      </w:r>
      <w:r w:rsidR="000527F8" w:rsidRPr="00B332DE">
        <w:rPr>
          <w:color w:val="auto"/>
          <w:sz w:val="22"/>
          <w:szCs w:val="22"/>
        </w:rPr>
        <w:t>each Proposer</w:t>
      </w:r>
      <w:r w:rsidRPr="00B332DE">
        <w:rPr>
          <w:color w:val="auto"/>
          <w:sz w:val="22"/>
          <w:szCs w:val="22"/>
        </w:rPr>
        <w:t>.</w:t>
      </w:r>
    </w:p>
    <w:p w:rsidR="00702075" w:rsidRDefault="00702075" w:rsidP="00FB4B7F">
      <w:pPr>
        <w:pStyle w:val="Default"/>
        <w:spacing w:after="120"/>
        <w:jc w:val="both"/>
        <w:rPr>
          <w:color w:val="auto"/>
          <w:sz w:val="22"/>
          <w:szCs w:val="22"/>
        </w:rPr>
      </w:pPr>
      <w:r>
        <w:rPr>
          <w:color w:val="auto"/>
          <w:sz w:val="22"/>
          <w:szCs w:val="22"/>
        </w:rPr>
        <w:t xml:space="preserve">Any Proposer who believes a conflict may exist after reviewing these Guidelines and any additional information provided on the Department’s website may submit a COI </w:t>
      </w:r>
      <w:r w:rsidR="00C66FD9">
        <w:rPr>
          <w:color w:val="auto"/>
          <w:sz w:val="22"/>
          <w:szCs w:val="22"/>
        </w:rPr>
        <w:t xml:space="preserve">Disclosure/ </w:t>
      </w:r>
      <w:r>
        <w:rPr>
          <w:color w:val="auto"/>
          <w:sz w:val="22"/>
          <w:szCs w:val="22"/>
        </w:rPr>
        <w:t xml:space="preserve">Determination Form.  </w:t>
      </w:r>
      <w:r w:rsidR="009C0C43">
        <w:rPr>
          <w:color w:val="auto"/>
          <w:sz w:val="22"/>
          <w:szCs w:val="22"/>
        </w:rPr>
        <w:t>This form can be found on the Consultant Service</w:t>
      </w:r>
      <w:r w:rsidR="00532AA4">
        <w:rPr>
          <w:color w:val="auto"/>
          <w:sz w:val="22"/>
          <w:szCs w:val="22"/>
        </w:rPr>
        <w:t>s</w:t>
      </w:r>
      <w:r w:rsidR="009C0C43">
        <w:rPr>
          <w:color w:val="auto"/>
          <w:sz w:val="22"/>
          <w:szCs w:val="22"/>
        </w:rPr>
        <w:t xml:space="preserve"> Group </w:t>
      </w:r>
      <w:r w:rsidR="00532AA4">
        <w:rPr>
          <w:color w:val="auto"/>
          <w:sz w:val="22"/>
          <w:szCs w:val="22"/>
        </w:rPr>
        <w:t>page</w:t>
      </w:r>
      <w:bookmarkStart w:id="0" w:name="_GoBack"/>
      <w:bookmarkEnd w:id="0"/>
      <w:r w:rsidR="009C0C43">
        <w:rPr>
          <w:color w:val="auto"/>
          <w:sz w:val="22"/>
          <w:szCs w:val="22"/>
        </w:rPr>
        <w:t xml:space="preserve"> of the ITD Website</w:t>
      </w:r>
    </w:p>
    <w:p w:rsidR="00702075" w:rsidRPr="00B332DE" w:rsidRDefault="00702075" w:rsidP="00FB4B7F">
      <w:pPr>
        <w:pStyle w:val="Default"/>
        <w:spacing w:after="120"/>
        <w:jc w:val="both"/>
        <w:rPr>
          <w:color w:val="auto"/>
          <w:sz w:val="22"/>
          <w:szCs w:val="22"/>
        </w:rPr>
      </w:pPr>
    </w:p>
    <w:p w:rsidR="00B403C5" w:rsidRPr="00702075" w:rsidRDefault="00B850DF" w:rsidP="00FB4B7F">
      <w:pPr>
        <w:pStyle w:val="Default"/>
        <w:jc w:val="both"/>
        <w:rPr>
          <w:color w:val="auto"/>
          <w:sz w:val="22"/>
          <w:szCs w:val="22"/>
        </w:rPr>
      </w:pPr>
      <w:r w:rsidRPr="00702075">
        <w:rPr>
          <w:color w:val="auto"/>
          <w:sz w:val="22"/>
          <w:szCs w:val="22"/>
        </w:rPr>
        <w:t xml:space="preserve">The </w:t>
      </w:r>
      <w:r w:rsidR="00F31704" w:rsidRPr="00702075">
        <w:rPr>
          <w:color w:val="auto"/>
          <w:sz w:val="22"/>
          <w:szCs w:val="22"/>
        </w:rPr>
        <w:t>Department’s COI</w:t>
      </w:r>
      <w:r w:rsidR="00B403C5" w:rsidRPr="00702075">
        <w:rPr>
          <w:color w:val="auto"/>
          <w:sz w:val="22"/>
          <w:szCs w:val="22"/>
        </w:rPr>
        <w:t xml:space="preserve"> determination is based on a number of factors such as:</w:t>
      </w:r>
    </w:p>
    <w:p w:rsidR="00B403C5" w:rsidRPr="00702075" w:rsidRDefault="00B403C5" w:rsidP="00FB4B7F">
      <w:pPr>
        <w:pStyle w:val="Default"/>
        <w:numPr>
          <w:ilvl w:val="0"/>
          <w:numId w:val="4"/>
        </w:numPr>
        <w:jc w:val="both"/>
        <w:rPr>
          <w:color w:val="auto"/>
          <w:sz w:val="22"/>
          <w:szCs w:val="22"/>
        </w:rPr>
      </w:pPr>
      <w:r w:rsidRPr="00702075">
        <w:rPr>
          <w:color w:val="auto"/>
          <w:sz w:val="22"/>
          <w:szCs w:val="22"/>
        </w:rPr>
        <w:t>Situational Facts – description of the situation and all known facts specific to the actual or perceived COI</w:t>
      </w:r>
    </w:p>
    <w:p w:rsidR="00B403C5" w:rsidRPr="00702075" w:rsidRDefault="00B403C5" w:rsidP="00FB4B7F">
      <w:pPr>
        <w:pStyle w:val="Default"/>
        <w:numPr>
          <w:ilvl w:val="0"/>
          <w:numId w:val="4"/>
        </w:numPr>
        <w:jc w:val="both"/>
        <w:rPr>
          <w:color w:val="auto"/>
          <w:sz w:val="22"/>
          <w:szCs w:val="22"/>
        </w:rPr>
      </w:pPr>
      <w:r w:rsidRPr="00702075">
        <w:rPr>
          <w:color w:val="auto"/>
          <w:sz w:val="22"/>
          <w:szCs w:val="22"/>
        </w:rPr>
        <w:t>Type of Work - specific product or service and contract(s) involved</w:t>
      </w:r>
    </w:p>
    <w:p w:rsidR="00B403C5" w:rsidRPr="00702075" w:rsidRDefault="00B403C5" w:rsidP="00FB4B7F">
      <w:pPr>
        <w:pStyle w:val="Default"/>
        <w:numPr>
          <w:ilvl w:val="0"/>
          <w:numId w:val="4"/>
        </w:numPr>
        <w:jc w:val="both"/>
        <w:rPr>
          <w:color w:val="auto"/>
          <w:sz w:val="22"/>
          <w:szCs w:val="22"/>
        </w:rPr>
      </w:pPr>
      <w:r w:rsidRPr="00702075">
        <w:rPr>
          <w:color w:val="auto"/>
          <w:sz w:val="22"/>
          <w:szCs w:val="22"/>
        </w:rPr>
        <w:t>A</w:t>
      </w:r>
      <w:r w:rsidR="00C974BD" w:rsidRPr="00702075">
        <w:rPr>
          <w:color w:val="auto"/>
          <w:sz w:val="22"/>
          <w:szCs w:val="22"/>
        </w:rPr>
        <w:t xml:space="preserve">rchitecture </w:t>
      </w:r>
      <w:r w:rsidRPr="00702075">
        <w:rPr>
          <w:color w:val="auto"/>
          <w:sz w:val="22"/>
          <w:szCs w:val="22"/>
        </w:rPr>
        <w:t>&amp;</w:t>
      </w:r>
      <w:r w:rsidR="00C974BD" w:rsidRPr="00702075">
        <w:rPr>
          <w:color w:val="auto"/>
          <w:sz w:val="22"/>
          <w:szCs w:val="22"/>
        </w:rPr>
        <w:t xml:space="preserve"> Engineering</w:t>
      </w:r>
      <w:r w:rsidRPr="00702075">
        <w:rPr>
          <w:color w:val="auto"/>
          <w:sz w:val="22"/>
          <w:szCs w:val="22"/>
        </w:rPr>
        <w:t xml:space="preserve"> Services - specific </w:t>
      </w:r>
      <w:r w:rsidR="00C974BD" w:rsidRPr="00702075">
        <w:rPr>
          <w:color w:val="auto"/>
          <w:sz w:val="22"/>
          <w:szCs w:val="22"/>
        </w:rPr>
        <w:t xml:space="preserve">disciplines </w:t>
      </w:r>
      <w:r w:rsidR="00660DB6" w:rsidRPr="00702075">
        <w:rPr>
          <w:color w:val="auto"/>
          <w:sz w:val="22"/>
          <w:szCs w:val="22"/>
        </w:rPr>
        <w:t>involved</w:t>
      </w:r>
    </w:p>
    <w:p w:rsidR="00B403C5" w:rsidRPr="00702075" w:rsidRDefault="00B403C5" w:rsidP="00FB4B7F">
      <w:pPr>
        <w:pStyle w:val="Default"/>
        <w:numPr>
          <w:ilvl w:val="0"/>
          <w:numId w:val="4"/>
        </w:numPr>
        <w:jc w:val="both"/>
        <w:rPr>
          <w:color w:val="auto"/>
          <w:sz w:val="22"/>
          <w:szCs w:val="22"/>
        </w:rPr>
      </w:pPr>
      <w:r w:rsidRPr="00702075">
        <w:rPr>
          <w:color w:val="auto"/>
          <w:sz w:val="22"/>
          <w:szCs w:val="22"/>
        </w:rPr>
        <w:t xml:space="preserve">Relationship to </w:t>
      </w:r>
      <w:r w:rsidR="00266C05" w:rsidRPr="00702075">
        <w:rPr>
          <w:color w:val="auto"/>
          <w:sz w:val="22"/>
          <w:szCs w:val="22"/>
        </w:rPr>
        <w:t>m</w:t>
      </w:r>
      <w:r w:rsidRPr="00702075">
        <w:rPr>
          <w:color w:val="auto"/>
          <w:sz w:val="22"/>
          <w:szCs w:val="22"/>
        </w:rPr>
        <w:t xml:space="preserve">anagement - specific interactions with </w:t>
      </w:r>
      <w:r w:rsidR="00F0719A" w:rsidRPr="00702075">
        <w:rPr>
          <w:color w:val="auto"/>
          <w:sz w:val="22"/>
          <w:szCs w:val="22"/>
        </w:rPr>
        <w:t xml:space="preserve">Department </w:t>
      </w:r>
      <w:r w:rsidRPr="00702075">
        <w:rPr>
          <w:color w:val="auto"/>
          <w:sz w:val="22"/>
          <w:szCs w:val="22"/>
        </w:rPr>
        <w:t xml:space="preserve"> decision-makers</w:t>
      </w:r>
    </w:p>
    <w:p w:rsidR="00B403C5" w:rsidRPr="00702075" w:rsidRDefault="00B403C5" w:rsidP="00FB4B7F">
      <w:pPr>
        <w:pStyle w:val="Default"/>
        <w:numPr>
          <w:ilvl w:val="0"/>
          <w:numId w:val="4"/>
        </w:numPr>
        <w:spacing w:after="120"/>
        <w:jc w:val="both"/>
        <w:rPr>
          <w:color w:val="auto"/>
          <w:sz w:val="22"/>
          <w:szCs w:val="22"/>
        </w:rPr>
      </w:pPr>
      <w:r w:rsidRPr="00702075">
        <w:rPr>
          <w:color w:val="auto"/>
          <w:sz w:val="22"/>
          <w:szCs w:val="22"/>
        </w:rPr>
        <w:t xml:space="preserve">Public </w:t>
      </w:r>
      <w:r w:rsidR="00266C05" w:rsidRPr="00702075">
        <w:rPr>
          <w:color w:val="auto"/>
          <w:sz w:val="22"/>
          <w:szCs w:val="22"/>
        </w:rPr>
        <w:t>d</w:t>
      </w:r>
      <w:r w:rsidRPr="00702075">
        <w:rPr>
          <w:color w:val="auto"/>
          <w:sz w:val="22"/>
          <w:szCs w:val="22"/>
        </w:rPr>
        <w:t>isclosure - timing and availability of product or service</w:t>
      </w:r>
    </w:p>
    <w:p w:rsidR="00E8060B" w:rsidRPr="00FB4B7F" w:rsidRDefault="00B403C5" w:rsidP="00FB4B7F">
      <w:pPr>
        <w:pStyle w:val="Default"/>
        <w:spacing w:after="120"/>
        <w:jc w:val="both"/>
        <w:rPr>
          <w:color w:val="auto"/>
          <w:sz w:val="22"/>
          <w:szCs w:val="22"/>
        </w:rPr>
      </w:pPr>
      <w:r w:rsidRPr="00702075">
        <w:rPr>
          <w:i/>
          <w:iCs/>
          <w:color w:val="auto"/>
          <w:sz w:val="22"/>
          <w:szCs w:val="22"/>
        </w:rPr>
        <w:t xml:space="preserve">It is important to understand that the specific facts disclosed in any COI situation will be unique to that situation. Therefore, the decisions and conclusions reached in one situation may or may not be directly applicable to another. For example, the definition of </w:t>
      </w:r>
      <w:r w:rsidRPr="00702075">
        <w:rPr>
          <w:bCs/>
          <w:i/>
          <w:iCs/>
          <w:color w:val="auto"/>
          <w:sz w:val="22"/>
          <w:szCs w:val="22"/>
        </w:rPr>
        <w:t>“Low-Level Documents”</w:t>
      </w:r>
      <w:r w:rsidRPr="00702075">
        <w:rPr>
          <w:b/>
          <w:bCs/>
          <w:i/>
          <w:iCs/>
          <w:color w:val="auto"/>
          <w:sz w:val="22"/>
          <w:szCs w:val="22"/>
        </w:rPr>
        <w:t xml:space="preserve"> </w:t>
      </w:r>
      <w:r w:rsidRPr="00702075">
        <w:rPr>
          <w:i/>
          <w:iCs/>
          <w:color w:val="auto"/>
          <w:sz w:val="22"/>
          <w:szCs w:val="22"/>
        </w:rPr>
        <w:t>does not isolate an Entity producing them from a potential COI situation. The ultimate determination will take into account other factors</w:t>
      </w:r>
      <w:r w:rsidR="00F0719A" w:rsidRPr="00702075">
        <w:rPr>
          <w:i/>
          <w:iCs/>
          <w:color w:val="auto"/>
          <w:sz w:val="22"/>
          <w:szCs w:val="22"/>
        </w:rPr>
        <w:t xml:space="preserve"> including </w:t>
      </w:r>
      <w:r w:rsidR="00266C05" w:rsidRPr="00702075">
        <w:rPr>
          <w:i/>
          <w:iCs/>
          <w:color w:val="auto"/>
          <w:sz w:val="22"/>
          <w:szCs w:val="22"/>
        </w:rPr>
        <w:t xml:space="preserve">but not limited to </w:t>
      </w:r>
      <w:r w:rsidR="00F0719A" w:rsidRPr="00702075">
        <w:rPr>
          <w:i/>
          <w:iCs/>
          <w:color w:val="auto"/>
          <w:sz w:val="22"/>
          <w:szCs w:val="22"/>
        </w:rPr>
        <w:t xml:space="preserve">those </w:t>
      </w:r>
      <w:r w:rsidRPr="00702075">
        <w:rPr>
          <w:i/>
          <w:iCs/>
          <w:color w:val="auto"/>
          <w:sz w:val="22"/>
          <w:szCs w:val="22"/>
        </w:rPr>
        <w:t>described above.</w:t>
      </w:r>
    </w:p>
    <w:sectPr w:rsidR="00E8060B" w:rsidRPr="00FB4B7F" w:rsidSect="00FB6BE5">
      <w:footerReference w:type="default" r:id="rId9"/>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B9" w:rsidRDefault="00EE1DB9" w:rsidP="00E8060B">
      <w:pPr>
        <w:spacing w:after="0" w:line="240" w:lineRule="auto"/>
      </w:pPr>
      <w:r>
        <w:separator/>
      </w:r>
    </w:p>
  </w:endnote>
  <w:endnote w:type="continuationSeparator" w:id="0">
    <w:p w:rsidR="00EE1DB9" w:rsidRDefault="00EE1DB9" w:rsidP="00E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5" w:rsidRDefault="00702075">
    <w:pPr>
      <w:pStyle w:val="Footer"/>
    </w:pPr>
    <w:r>
      <w:rPr>
        <w:noProof/>
      </w:rPr>
      <w:drawing>
        <wp:inline distT="0" distB="0" distL="0" distR="0" wp14:anchorId="416DD111" wp14:editId="2CFA62E7">
          <wp:extent cx="5943600"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D-mission-point-ribb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660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B9" w:rsidRDefault="00EE1DB9" w:rsidP="00E8060B">
      <w:pPr>
        <w:spacing w:after="0" w:line="240" w:lineRule="auto"/>
      </w:pPr>
      <w:r>
        <w:separator/>
      </w:r>
    </w:p>
  </w:footnote>
  <w:footnote w:type="continuationSeparator" w:id="0">
    <w:p w:rsidR="00EE1DB9" w:rsidRDefault="00EE1DB9" w:rsidP="00E80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4B26"/>
    <w:multiLevelType w:val="hybridMultilevel"/>
    <w:tmpl w:val="BE5EAC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D30F4B"/>
    <w:multiLevelType w:val="hybridMultilevel"/>
    <w:tmpl w:val="A7E8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971A5"/>
    <w:multiLevelType w:val="hybridMultilevel"/>
    <w:tmpl w:val="1242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DA0A0B"/>
    <w:multiLevelType w:val="hybridMultilevel"/>
    <w:tmpl w:val="FEAE0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9D"/>
    <w:rsid w:val="00034551"/>
    <w:rsid w:val="000527F8"/>
    <w:rsid w:val="000B70B9"/>
    <w:rsid w:val="000D6217"/>
    <w:rsid w:val="00124D98"/>
    <w:rsid w:val="001368B0"/>
    <w:rsid w:val="00161B0C"/>
    <w:rsid w:val="00191D5D"/>
    <w:rsid w:val="00194965"/>
    <w:rsid w:val="00200CFD"/>
    <w:rsid w:val="00233A7C"/>
    <w:rsid w:val="00266C05"/>
    <w:rsid w:val="002B7148"/>
    <w:rsid w:val="002B752B"/>
    <w:rsid w:val="0036133D"/>
    <w:rsid w:val="00361912"/>
    <w:rsid w:val="003660B5"/>
    <w:rsid w:val="003E095E"/>
    <w:rsid w:val="0040320E"/>
    <w:rsid w:val="00403940"/>
    <w:rsid w:val="0042252E"/>
    <w:rsid w:val="0045405E"/>
    <w:rsid w:val="004657F7"/>
    <w:rsid w:val="004852C3"/>
    <w:rsid w:val="004A345F"/>
    <w:rsid w:val="004D292A"/>
    <w:rsid w:val="00532AA4"/>
    <w:rsid w:val="005B47BF"/>
    <w:rsid w:val="005B5589"/>
    <w:rsid w:val="005C1F1B"/>
    <w:rsid w:val="005C5772"/>
    <w:rsid w:val="005C59DC"/>
    <w:rsid w:val="00601995"/>
    <w:rsid w:val="00610B69"/>
    <w:rsid w:val="00660DB6"/>
    <w:rsid w:val="006D21C4"/>
    <w:rsid w:val="006D3009"/>
    <w:rsid w:val="00702075"/>
    <w:rsid w:val="00710BE2"/>
    <w:rsid w:val="00710C46"/>
    <w:rsid w:val="00736843"/>
    <w:rsid w:val="00763424"/>
    <w:rsid w:val="0076790F"/>
    <w:rsid w:val="007F7458"/>
    <w:rsid w:val="00867525"/>
    <w:rsid w:val="00891A10"/>
    <w:rsid w:val="008A7A8C"/>
    <w:rsid w:val="008E6ECE"/>
    <w:rsid w:val="008F6DCD"/>
    <w:rsid w:val="00904B99"/>
    <w:rsid w:val="00905C83"/>
    <w:rsid w:val="00907E44"/>
    <w:rsid w:val="00914CEC"/>
    <w:rsid w:val="009413FE"/>
    <w:rsid w:val="009C0C43"/>
    <w:rsid w:val="009E65C3"/>
    <w:rsid w:val="009F0AD6"/>
    <w:rsid w:val="00A10B58"/>
    <w:rsid w:val="00A2400E"/>
    <w:rsid w:val="00A44F8A"/>
    <w:rsid w:val="00A4731C"/>
    <w:rsid w:val="00A724BD"/>
    <w:rsid w:val="00A803EA"/>
    <w:rsid w:val="00A94D9D"/>
    <w:rsid w:val="00AB73D2"/>
    <w:rsid w:val="00AC5837"/>
    <w:rsid w:val="00AE1DE4"/>
    <w:rsid w:val="00AF292C"/>
    <w:rsid w:val="00B04BF4"/>
    <w:rsid w:val="00B135EA"/>
    <w:rsid w:val="00B24645"/>
    <w:rsid w:val="00B255D8"/>
    <w:rsid w:val="00B332DE"/>
    <w:rsid w:val="00B3794E"/>
    <w:rsid w:val="00B403C5"/>
    <w:rsid w:val="00B84076"/>
    <w:rsid w:val="00B850DF"/>
    <w:rsid w:val="00BA7333"/>
    <w:rsid w:val="00C547B7"/>
    <w:rsid w:val="00C66FD9"/>
    <w:rsid w:val="00C8497C"/>
    <w:rsid w:val="00C93F01"/>
    <w:rsid w:val="00C974BD"/>
    <w:rsid w:val="00CA29DB"/>
    <w:rsid w:val="00CC2604"/>
    <w:rsid w:val="00CC3476"/>
    <w:rsid w:val="00D01FB4"/>
    <w:rsid w:val="00D049E0"/>
    <w:rsid w:val="00D34F1B"/>
    <w:rsid w:val="00D5565E"/>
    <w:rsid w:val="00D70D1E"/>
    <w:rsid w:val="00D9444E"/>
    <w:rsid w:val="00D94C6C"/>
    <w:rsid w:val="00DB5A6F"/>
    <w:rsid w:val="00DF1E9C"/>
    <w:rsid w:val="00E36821"/>
    <w:rsid w:val="00E8060B"/>
    <w:rsid w:val="00EA7F7A"/>
    <w:rsid w:val="00EE1DB9"/>
    <w:rsid w:val="00EF3B25"/>
    <w:rsid w:val="00EF4F93"/>
    <w:rsid w:val="00F011D4"/>
    <w:rsid w:val="00F0719A"/>
    <w:rsid w:val="00F24A58"/>
    <w:rsid w:val="00F31704"/>
    <w:rsid w:val="00F95B35"/>
    <w:rsid w:val="00FB460D"/>
    <w:rsid w:val="00FB4B7F"/>
    <w:rsid w:val="00FB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D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60B"/>
  </w:style>
  <w:style w:type="paragraph" w:styleId="Footer">
    <w:name w:val="footer"/>
    <w:basedOn w:val="Normal"/>
    <w:link w:val="FooterChar"/>
    <w:uiPriority w:val="99"/>
    <w:unhideWhenUsed/>
    <w:rsid w:val="00E8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60B"/>
  </w:style>
  <w:style w:type="paragraph" w:styleId="ListParagraph">
    <w:name w:val="List Paragraph"/>
    <w:basedOn w:val="Normal"/>
    <w:uiPriority w:val="34"/>
    <w:qFormat/>
    <w:rsid w:val="00E8060B"/>
    <w:pPr>
      <w:ind w:left="720"/>
      <w:contextualSpacing/>
    </w:pPr>
  </w:style>
  <w:style w:type="character" w:styleId="CommentReference">
    <w:name w:val="annotation reference"/>
    <w:basedOn w:val="DefaultParagraphFont"/>
    <w:uiPriority w:val="99"/>
    <w:semiHidden/>
    <w:unhideWhenUsed/>
    <w:rsid w:val="00CC3476"/>
    <w:rPr>
      <w:sz w:val="16"/>
      <w:szCs w:val="16"/>
    </w:rPr>
  </w:style>
  <w:style w:type="paragraph" w:styleId="CommentText">
    <w:name w:val="annotation text"/>
    <w:basedOn w:val="Normal"/>
    <w:link w:val="CommentTextChar"/>
    <w:uiPriority w:val="99"/>
    <w:semiHidden/>
    <w:unhideWhenUsed/>
    <w:rsid w:val="00CC3476"/>
    <w:pPr>
      <w:spacing w:line="240" w:lineRule="auto"/>
    </w:pPr>
    <w:rPr>
      <w:sz w:val="20"/>
      <w:szCs w:val="20"/>
    </w:rPr>
  </w:style>
  <w:style w:type="character" w:customStyle="1" w:styleId="CommentTextChar">
    <w:name w:val="Comment Text Char"/>
    <w:basedOn w:val="DefaultParagraphFont"/>
    <w:link w:val="CommentText"/>
    <w:uiPriority w:val="99"/>
    <w:semiHidden/>
    <w:rsid w:val="00CC3476"/>
    <w:rPr>
      <w:sz w:val="20"/>
      <w:szCs w:val="20"/>
    </w:rPr>
  </w:style>
  <w:style w:type="paragraph" w:styleId="CommentSubject">
    <w:name w:val="annotation subject"/>
    <w:basedOn w:val="CommentText"/>
    <w:next w:val="CommentText"/>
    <w:link w:val="CommentSubjectChar"/>
    <w:uiPriority w:val="99"/>
    <w:semiHidden/>
    <w:unhideWhenUsed/>
    <w:rsid w:val="00CC3476"/>
    <w:rPr>
      <w:b/>
      <w:bCs/>
    </w:rPr>
  </w:style>
  <w:style w:type="character" w:customStyle="1" w:styleId="CommentSubjectChar">
    <w:name w:val="Comment Subject Char"/>
    <w:basedOn w:val="CommentTextChar"/>
    <w:link w:val="CommentSubject"/>
    <w:uiPriority w:val="99"/>
    <w:semiHidden/>
    <w:rsid w:val="00CC3476"/>
    <w:rPr>
      <w:b/>
      <w:bCs/>
      <w:sz w:val="20"/>
      <w:szCs w:val="20"/>
    </w:rPr>
  </w:style>
  <w:style w:type="paragraph" w:styleId="BalloonText">
    <w:name w:val="Balloon Text"/>
    <w:basedOn w:val="Normal"/>
    <w:link w:val="BalloonTextChar"/>
    <w:uiPriority w:val="99"/>
    <w:semiHidden/>
    <w:unhideWhenUsed/>
    <w:rsid w:val="00CC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76"/>
    <w:rPr>
      <w:rFonts w:ascii="Tahoma" w:hAnsi="Tahoma" w:cs="Tahoma"/>
      <w:sz w:val="16"/>
      <w:szCs w:val="16"/>
    </w:rPr>
  </w:style>
  <w:style w:type="character" w:styleId="Hyperlink">
    <w:name w:val="Hyperlink"/>
    <w:basedOn w:val="DefaultParagraphFont"/>
    <w:uiPriority w:val="99"/>
    <w:unhideWhenUsed/>
    <w:rsid w:val="00702075"/>
    <w:rPr>
      <w:color w:val="0000FF" w:themeColor="hyperlink"/>
      <w:u w:val="single"/>
    </w:rPr>
  </w:style>
  <w:style w:type="character" w:styleId="FollowedHyperlink">
    <w:name w:val="FollowedHyperlink"/>
    <w:basedOn w:val="DefaultParagraphFont"/>
    <w:uiPriority w:val="99"/>
    <w:semiHidden/>
    <w:unhideWhenUsed/>
    <w:rsid w:val="007020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D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60B"/>
  </w:style>
  <w:style w:type="paragraph" w:styleId="Footer">
    <w:name w:val="footer"/>
    <w:basedOn w:val="Normal"/>
    <w:link w:val="FooterChar"/>
    <w:uiPriority w:val="99"/>
    <w:unhideWhenUsed/>
    <w:rsid w:val="00E8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60B"/>
  </w:style>
  <w:style w:type="paragraph" w:styleId="ListParagraph">
    <w:name w:val="List Paragraph"/>
    <w:basedOn w:val="Normal"/>
    <w:uiPriority w:val="34"/>
    <w:qFormat/>
    <w:rsid w:val="00E8060B"/>
    <w:pPr>
      <w:ind w:left="720"/>
      <w:contextualSpacing/>
    </w:pPr>
  </w:style>
  <w:style w:type="character" w:styleId="CommentReference">
    <w:name w:val="annotation reference"/>
    <w:basedOn w:val="DefaultParagraphFont"/>
    <w:uiPriority w:val="99"/>
    <w:semiHidden/>
    <w:unhideWhenUsed/>
    <w:rsid w:val="00CC3476"/>
    <w:rPr>
      <w:sz w:val="16"/>
      <w:szCs w:val="16"/>
    </w:rPr>
  </w:style>
  <w:style w:type="paragraph" w:styleId="CommentText">
    <w:name w:val="annotation text"/>
    <w:basedOn w:val="Normal"/>
    <w:link w:val="CommentTextChar"/>
    <w:uiPriority w:val="99"/>
    <w:semiHidden/>
    <w:unhideWhenUsed/>
    <w:rsid w:val="00CC3476"/>
    <w:pPr>
      <w:spacing w:line="240" w:lineRule="auto"/>
    </w:pPr>
    <w:rPr>
      <w:sz w:val="20"/>
      <w:szCs w:val="20"/>
    </w:rPr>
  </w:style>
  <w:style w:type="character" w:customStyle="1" w:styleId="CommentTextChar">
    <w:name w:val="Comment Text Char"/>
    <w:basedOn w:val="DefaultParagraphFont"/>
    <w:link w:val="CommentText"/>
    <w:uiPriority w:val="99"/>
    <w:semiHidden/>
    <w:rsid w:val="00CC3476"/>
    <w:rPr>
      <w:sz w:val="20"/>
      <w:szCs w:val="20"/>
    </w:rPr>
  </w:style>
  <w:style w:type="paragraph" w:styleId="CommentSubject">
    <w:name w:val="annotation subject"/>
    <w:basedOn w:val="CommentText"/>
    <w:next w:val="CommentText"/>
    <w:link w:val="CommentSubjectChar"/>
    <w:uiPriority w:val="99"/>
    <w:semiHidden/>
    <w:unhideWhenUsed/>
    <w:rsid w:val="00CC3476"/>
    <w:rPr>
      <w:b/>
      <w:bCs/>
    </w:rPr>
  </w:style>
  <w:style w:type="character" w:customStyle="1" w:styleId="CommentSubjectChar">
    <w:name w:val="Comment Subject Char"/>
    <w:basedOn w:val="CommentTextChar"/>
    <w:link w:val="CommentSubject"/>
    <w:uiPriority w:val="99"/>
    <w:semiHidden/>
    <w:rsid w:val="00CC3476"/>
    <w:rPr>
      <w:b/>
      <w:bCs/>
      <w:sz w:val="20"/>
      <w:szCs w:val="20"/>
    </w:rPr>
  </w:style>
  <w:style w:type="paragraph" w:styleId="BalloonText">
    <w:name w:val="Balloon Text"/>
    <w:basedOn w:val="Normal"/>
    <w:link w:val="BalloonTextChar"/>
    <w:uiPriority w:val="99"/>
    <w:semiHidden/>
    <w:unhideWhenUsed/>
    <w:rsid w:val="00CC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76"/>
    <w:rPr>
      <w:rFonts w:ascii="Tahoma" w:hAnsi="Tahoma" w:cs="Tahoma"/>
      <w:sz w:val="16"/>
      <w:szCs w:val="16"/>
    </w:rPr>
  </w:style>
  <w:style w:type="character" w:styleId="Hyperlink">
    <w:name w:val="Hyperlink"/>
    <w:basedOn w:val="DefaultParagraphFont"/>
    <w:uiPriority w:val="99"/>
    <w:unhideWhenUsed/>
    <w:rsid w:val="00702075"/>
    <w:rPr>
      <w:color w:val="0000FF" w:themeColor="hyperlink"/>
      <w:u w:val="single"/>
    </w:rPr>
  </w:style>
  <w:style w:type="character" w:styleId="FollowedHyperlink">
    <w:name w:val="FollowedHyperlink"/>
    <w:basedOn w:val="DefaultParagraphFont"/>
    <w:uiPriority w:val="99"/>
    <w:semiHidden/>
    <w:unhideWhenUsed/>
    <w:rsid w:val="00702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B326-6D4F-494E-9C78-5A25A0E5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ITD</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FHood</dc:creator>
  <cp:lastModifiedBy>Mike Cram</cp:lastModifiedBy>
  <cp:revision>7</cp:revision>
  <cp:lastPrinted>2012-03-02T23:38:00Z</cp:lastPrinted>
  <dcterms:created xsi:type="dcterms:W3CDTF">2017-09-01T21:22:00Z</dcterms:created>
  <dcterms:modified xsi:type="dcterms:W3CDTF">2017-09-13T21:04:00Z</dcterms:modified>
</cp:coreProperties>
</file>